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503FC"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31923227" wp14:editId="509AD8A2">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5F75B037" wp14:editId="40F6275D">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6B148E6C"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0EA8BF4C"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7ABF7609"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54DD500D" w14:textId="77777777" w:rsidR="006528E0" w:rsidRDefault="009A4233" w:rsidP="00712E90">
                              <w:pPr>
                                <w:pStyle w:val="DateStyle"/>
                              </w:pPr>
                              <w:r w:rsidRPr="009A4233">
                                <w:t>The Blade,</w:t>
                              </w:r>
                              <w:r w:rsidR="006528E0">
                                <w:t xml:space="preserve"> </w:t>
                              </w:r>
                              <w:r w:rsidRPr="009A4233">
                                <w:t>Abbey Square,</w:t>
                              </w:r>
                            </w:p>
                            <w:p w14:paraId="4954E315"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5B037"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B148E6C"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0EA8BF4C"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7ABF7609"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4DD500D" w14:textId="77777777" w:rsidR="006528E0" w:rsidRDefault="009A4233" w:rsidP="00712E90">
                        <w:pPr>
                          <w:pStyle w:val="DateStyle"/>
                        </w:pPr>
                        <w:r w:rsidRPr="009A4233">
                          <w:t>The Blade,</w:t>
                        </w:r>
                        <w:r w:rsidR="006528E0">
                          <w:t xml:space="preserve"> </w:t>
                        </w:r>
                        <w:r w:rsidRPr="009A4233">
                          <w:t>Abbey Square,</w:t>
                        </w:r>
                      </w:p>
                      <w:p w14:paraId="4954E315"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30E6D8A7" w14:textId="77777777" w:rsidR="006B7D37" w:rsidRPr="00264354" w:rsidRDefault="006B7D37" w:rsidP="006B7D37">
      <w:pPr>
        <w:rPr>
          <w:rFonts w:ascii="Open Sans" w:hAnsi="Open Sans" w:cs="Open Sans"/>
        </w:rPr>
      </w:pPr>
    </w:p>
    <w:p w14:paraId="23124D1F" w14:textId="77777777" w:rsidR="006B7D37" w:rsidRPr="00264354" w:rsidRDefault="006B7D37" w:rsidP="006B7D37">
      <w:pPr>
        <w:rPr>
          <w:rFonts w:ascii="Open Sans" w:hAnsi="Open Sans" w:cs="Open Sans"/>
        </w:rPr>
      </w:pPr>
    </w:p>
    <w:p w14:paraId="1025588F"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3E50FE84" wp14:editId="4440DEBA">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405322"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03C32591" w14:textId="77777777" w:rsidR="00F77795" w:rsidRPr="00264354" w:rsidRDefault="00F77795" w:rsidP="006B7D37">
      <w:pPr>
        <w:rPr>
          <w:rFonts w:ascii="Open Sans" w:hAnsi="Open Sans" w:cs="Open Sans"/>
          <w:color w:val="FC5000"/>
          <w:sz w:val="20"/>
          <w:szCs w:val="20"/>
        </w:rPr>
      </w:pPr>
    </w:p>
    <w:p w14:paraId="7084E751"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35AAFEBF" w14:textId="77777777" w:rsidR="003D736B"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5A4A4693" w14:textId="77777777" w:rsidR="00F83982" w:rsidRDefault="00F83982" w:rsidP="003D736B">
      <w:pPr>
        <w:pStyle w:val="SubHeader"/>
        <w:rPr>
          <w:i/>
          <w:iCs/>
          <w:bdr w:val="none" w:sz="0" w:space="0" w:color="auto" w:frame="1"/>
          <w:lang w:eastAsia="en-GB"/>
        </w:rPr>
      </w:pPr>
    </w:p>
    <w:p w14:paraId="1AF56EDE" w14:textId="1CEF53F9" w:rsidR="00F83982" w:rsidRPr="00BA16CF" w:rsidRDefault="00F83982" w:rsidP="004A0964">
      <w:pPr>
        <w:pStyle w:val="Header-Occuity"/>
        <w:rPr>
          <w:bdr w:val="none" w:sz="0" w:space="0" w:color="auto" w:frame="1"/>
          <w:lang w:eastAsia="en-GB"/>
        </w:rPr>
      </w:pPr>
      <w:r>
        <w:rPr>
          <w:bdr w:val="none" w:sz="0" w:space="0" w:color="auto" w:frame="1"/>
          <w:lang w:eastAsia="en-GB"/>
        </w:rPr>
        <w:t xml:space="preserve">When to implement myopia control </w:t>
      </w:r>
      <w:r w:rsidR="004A0964">
        <w:rPr>
          <w:bdr w:val="none" w:sz="0" w:space="0" w:color="auto" w:frame="1"/>
          <w:lang w:eastAsia="en-GB"/>
        </w:rPr>
        <w:t>strategies?</w:t>
      </w:r>
    </w:p>
    <w:p w14:paraId="7BFBA3A6" w14:textId="77777777" w:rsidR="003D736B" w:rsidRDefault="003D736B" w:rsidP="004D6CBD">
      <w:pPr>
        <w:pStyle w:val="Header-Occuity"/>
        <w:rPr>
          <w:bdr w:val="none" w:sz="0" w:space="0" w:color="auto" w:frame="1"/>
          <w:lang w:eastAsia="en-GB"/>
        </w:rPr>
      </w:pPr>
    </w:p>
    <w:p w14:paraId="41B80A58" w14:textId="5745B34B" w:rsidR="00405EA8" w:rsidRDefault="00405EA8" w:rsidP="00405EA8">
      <w:pPr>
        <w:pStyle w:val="Paragraph-Occuity"/>
        <w:rPr>
          <w:bdr w:val="none" w:sz="0" w:space="0" w:color="auto" w:frame="1"/>
          <w:lang w:eastAsia="en-GB"/>
        </w:rPr>
      </w:pPr>
      <w:r w:rsidRPr="00405EA8">
        <w:rPr>
          <w:bdr w:val="none" w:sz="0" w:space="0" w:color="auto" w:frame="1"/>
          <w:lang w:eastAsia="en-GB"/>
        </w:rPr>
        <w:t>When it comes to eyesight, especially myopia (</w:t>
      </w:r>
      <w:r w:rsidR="002B4668" w:rsidRPr="00405EA8">
        <w:rPr>
          <w:bdr w:val="none" w:sz="0" w:space="0" w:color="auto" w:frame="1"/>
          <w:lang w:eastAsia="en-GB"/>
        </w:rPr>
        <w:t>near-sightedness</w:t>
      </w:r>
      <w:r w:rsidRPr="00405EA8">
        <w:rPr>
          <w:bdr w:val="none" w:sz="0" w:space="0" w:color="auto" w:frame="1"/>
          <w:lang w:eastAsia="en-GB"/>
        </w:rPr>
        <w:t>), early intervention is crucial for long-term eye health. Studies have shown that the sooner myopia appears, the more likely it is to progress</w:t>
      </w:r>
      <w:r w:rsidR="00832DA6">
        <w:rPr>
          <w:bdr w:val="none" w:sz="0" w:space="0" w:color="auto" w:frame="1"/>
          <w:lang w:eastAsia="en-GB"/>
        </w:rPr>
        <w:t xml:space="preserve"> [</w:t>
      </w:r>
      <w:hyperlink r:id="rId8" w:history="1">
        <w:r w:rsidR="00832DA6" w:rsidRPr="008F1ACE">
          <w:rPr>
            <w:rStyle w:val="Hyperlink"/>
            <w:bdr w:val="none" w:sz="0" w:space="0" w:color="auto" w:frame="1"/>
            <w:lang w:eastAsia="en-GB"/>
          </w:rPr>
          <w:t>1</w:t>
        </w:r>
      </w:hyperlink>
      <w:r w:rsidR="00832DA6">
        <w:rPr>
          <w:bdr w:val="none" w:sz="0" w:space="0" w:color="auto" w:frame="1"/>
          <w:lang w:eastAsia="en-GB"/>
        </w:rPr>
        <w:t>]</w:t>
      </w:r>
      <w:r w:rsidRPr="00405EA8">
        <w:rPr>
          <w:bdr w:val="none" w:sz="0" w:space="0" w:color="auto" w:frame="1"/>
          <w:lang w:eastAsia="en-GB"/>
        </w:rPr>
        <w:t xml:space="preserve">. Left unaddressed, myopia can lead to high levels of </w:t>
      </w:r>
      <w:r w:rsidR="002B4668" w:rsidRPr="00405EA8">
        <w:rPr>
          <w:bdr w:val="none" w:sz="0" w:space="0" w:color="auto" w:frame="1"/>
          <w:lang w:eastAsia="en-GB"/>
        </w:rPr>
        <w:t>near-sightedness</w:t>
      </w:r>
      <w:r w:rsidRPr="00405EA8">
        <w:rPr>
          <w:bdr w:val="none" w:sz="0" w:space="0" w:color="auto" w:frame="1"/>
          <w:lang w:eastAsia="en-GB"/>
        </w:rPr>
        <w:t xml:space="preserve"> throughout childhood and teenage years, potentially resulting in serious eye conditions like detached retina, cataracts, glaucoma, or even blindness. To combat this issue, optometrists recommend taking action as soon as a child shows signs of myopia susceptibility. Regular and early eye checks play a vital role in identifying these signs, allowing for </w:t>
      </w:r>
      <w:r w:rsidR="002B4668">
        <w:rPr>
          <w:bdr w:val="none" w:sz="0" w:space="0" w:color="auto" w:frame="1"/>
          <w:lang w:eastAsia="en-GB"/>
        </w:rPr>
        <w:t xml:space="preserve">the </w:t>
      </w:r>
      <w:r w:rsidRPr="00405EA8">
        <w:rPr>
          <w:bdr w:val="none" w:sz="0" w:space="0" w:color="auto" w:frame="1"/>
          <w:lang w:eastAsia="en-GB"/>
        </w:rPr>
        <w:t>timely implementation of myopia control strategies.</w:t>
      </w:r>
    </w:p>
    <w:p w14:paraId="648051B2" w14:textId="77777777" w:rsidR="004A0964" w:rsidRPr="00405EA8" w:rsidRDefault="004A0964" w:rsidP="00405EA8">
      <w:pPr>
        <w:pStyle w:val="Paragraph-Occuity"/>
        <w:rPr>
          <w:bdr w:val="none" w:sz="0" w:space="0" w:color="auto" w:frame="1"/>
          <w:lang w:eastAsia="en-GB"/>
        </w:rPr>
      </w:pPr>
    </w:p>
    <w:p w14:paraId="4C719867" w14:textId="77777777" w:rsidR="00405EA8" w:rsidRPr="00405EA8" w:rsidRDefault="00405EA8" w:rsidP="004A0964">
      <w:pPr>
        <w:pStyle w:val="Paragraph-Occuity"/>
        <w:rPr>
          <w:bdr w:val="none" w:sz="0" w:space="0" w:color="auto" w:frame="1"/>
          <w:lang w:eastAsia="en-GB"/>
        </w:rPr>
      </w:pPr>
      <w:r w:rsidRPr="00405EA8">
        <w:rPr>
          <w:bdr w:val="none" w:sz="0" w:space="0" w:color="auto" w:frame="1"/>
          <w:lang w:eastAsia="en-GB"/>
        </w:rPr>
        <w:t>Identifying the Right Time for Intervention:</w:t>
      </w:r>
    </w:p>
    <w:p w14:paraId="3CF0775E" w14:textId="31F1214F" w:rsidR="00405EA8" w:rsidRPr="00405EA8" w:rsidRDefault="00405EA8" w:rsidP="00405EA8">
      <w:pPr>
        <w:pStyle w:val="Paragraph-Occuity"/>
        <w:rPr>
          <w:bdr w:val="none" w:sz="0" w:space="0" w:color="auto" w:frame="1"/>
          <w:lang w:eastAsia="en-GB"/>
        </w:rPr>
      </w:pPr>
      <w:r w:rsidRPr="00405EA8">
        <w:rPr>
          <w:bdr w:val="none" w:sz="0" w:space="0" w:color="auto" w:frame="1"/>
          <w:lang w:eastAsia="en-GB"/>
        </w:rPr>
        <w:t>Children are generally long-sighted until around the age of six or seven, making this age a crucial time for observing any shifts in their eyesight</w:t>
      </w:r>
      <w:r w:rsidR="008C5404">
        <w:rPr>
          <w:bdr w:val="none" w:sz="0" w:space="0" w:color="auto" w:frame="1"/>
          <w:lang w:eastAsia="en-GB"/>
        </w:rPr>
        <w:t xml:space="preserve"> [</w:t>
      </w:r>
      <w:hyperlink r:id="rId9" w:history="1">
        <w:r w:rsidR="008C5404" w:rsidRPr="00E449C1">
          <w:rPr>
            <w:rStyle w:val="Hyperlink"/>
            <w:bdr w:val="none" w:sz="0" w:space="0" w:color="auto" w:frame="1"/>
            <w:lang w:eastAsia="en-GB"/>
          </w:rPr>
          <w:t>2</w:t>
        </w:r>
      </w:hyperlink>
      <w:r w:rsidR="008C5404">
        <w:rPr>
          <w:bdr w:val="none" w:sz="0" w:space="0" w:color="auto" w:frame="1"/>
          <w:lang w:eastAsia="en-GB"/>
        </w:rPr>
        <w:t>]</w:t>
      </w:r>
      <w:r w:rsidRPr="00405EA8">
        <w:rPr>
          <w:bdr w:val="none" w:sz="0" w:space="0" w:color="auto" w:frame="1"/>
          <w:lang w:eastAsia="en-GB"/>
        </w:rPr>
        <w:t>. If a child starts showing signs of becoming less long-sighted or even developing myopia, it is an indication that myopia control strategies should be initiated. Factors like heredity, excessive screen use, and lack of outdoor time can increase the risk of myopia development, making vigilance even more essential.</w:t>
      </w:r>
    </w:p>
    <w:p w14:paraId="242C6A9C" w14:textId="77777777" w:rsidR="004A0964" w:rsidRDefault="004A0964" w:rsidP="004A0964">
      <w:pPr>
        <w:pStyle w:val="Paragraph-Occuity"/>
        <w:rPr>
          <w:bdr w:val="none" w:sz="0" w:space="0" w:color="auto" w:frame="1"/>
          <w:lang w:eastAsia="en-GB"/>
        </w:rPr>
      </w:pPr>
    </w:p>
    <w:p w14:paraId="702023B8" w14:textId="7B2060BF" w:rsidR="00405EA8" w:rsidRPr="00405EA8" w:rsidRDefault="00405EA8" w:rsidP="004A0964">
      <w:pPr>
        <w:pStyle w:val="Paragraph-Occuity"/>
        <w:rPr>
          <w:bdr w:val="none" w:sz="0" w:space="0" w:color="auto" w:frame="1"/>
          <w:lang w:eastAsia="en-GB"/>
        </w:rPr>
      </w:pPr>
      <w:r w:rsidRPr="00405EA8">
        <w:rPr>
          <w:bdr w:val="none" w:sz="0" w:space="0" w:color="auto" w:frame="1"/>
          <w:lang w:eastAsia="en-GB"/>
        </w:rPr>
        <w:t>Myopia Control Strategies:</w:t>
      </w:r>
    </w:p>
    <w:p w14:paraId="1C072A21" w14:textId="74EB0EEC" w:rsidR="00405EA8" w:rsidRPr="00405EA8" w:rsidRDefault="00405EA8" w:rsidP="00405EA8">
      <w:pPr>
        <w:pStyle w:val="Paragraph-Occuity"/>
        <w:rPr>
          <w:bdr w:val="none" w:sz="0" w:space="0" w:color="auto" w:frame="1"/>
          <w:lang w:eastAsia="en-GB"/>
        </w:rPr>
      </w:pPr>
      <w:r w:rsidRPr="00405EA8">
        <w:rPr>
          <w:bdr w:val="none" w:sz="0" w:space="0" w:color="auto" w:frame="1"/>
          <w:lang w:eastAsia="en-GB"/>
        </w:rPr>
        <w:t xml:space="preserve">To effectively manage myopia, a range of options is available to optometrists. One notable approach involves using </w:t>
      </w:r>
      <w:hyperlink r:id="rId10" w:history="1">
        <w:proofErr w:type="spellStart"/>
        <w:r w:rsidRPr="00405EA8">
          <w:rPr>
            <w:rStyle w:val="Hyperlink"/>
            <w:bdr w:val="none" w:sz="0" w:space="0" w:color="auto" w:frame="1"/>
            <w:lang w:eastAsia="en-GB"/>
          </w:rPr>
          <w:t>MiSight</w:t>
        </w:r>
        <w:proofErr w:type="spellEnd"/>
      </w:hyperlink>
      <w:r w:rsidRPr="00405EA8">
        <w:rPr>
          <w:bdr w:val="none" w:sz="0" w:space="0" w:color="auto" w:frame="1"/>
          <w:lang w:eastAsia="en-GB"/>
        </w:rPr>
        <w:t xml:space="preserve"> contact lenses or similar alternatives. These lenses not only correct a child's vision but also influence how light enters the eye, creating conditions that can slow down the eye's growth and reduce myopia progression. Such strategies offer a dual purpose of vision correction and myopia management, making them an excellent choice for young patients.</w:t>
      </w:r>
    </w:p>
    <w:p w14:paraId="404EED93" w14:textId="77777777" w:rsidR="004A0964" w:rsidRDefault="004A0964" w:rsidP="004A0964">
      <w:pPr>
        <w:pStyle w:val="Paragraph-Occuity"/>
        <w:rPr>
          <w:bdr w:val="none" w:sz="0" w:space="0" w:color="auto" w:frame="1"/>
          <w:lang w:eastAsia="en-GB"/>
        </w:rPr>
      </w:pPr>
    </w:p>
    <w:p w14:paraId="59E7F733" w14:textId="28758A7F" w:rsidR="00405EA8" w:rsidRPr="00405EA8" w:rsidRDefault="00405EA8" w:rsidP="004A0964">
      <w:pPr>
        <w:pStyle w:val="Paragraph-Occuity"/>
        <w:rPr>
          <w:bdr w:val="none" w:sz="0" w:space="0" w:color="auto" w:frame="1"/>
          <w:lang w:eastAsia="en-GB"/>
        </w:rPr>
      </w:pPr>
      <w:r w:rsidRPr="00405EA8">
        <w:rPr>
          <w:bdr w:val="none" w:sz="0" w:space="0" w:color="auto" w:frame="1"/>
          <w:lang w:eastAsia="en-GB"/>
        </w:rPr>
        <w:t>Impact of Environmental Factors:</w:t>
      </w:r>
    </w:p>
    <w:p w14:paraId="330336BF" w14:textId="20F21B27" w:rsidR="00405EA8" w:rsidRPr="00405EA8" w:rsidRDefault="00405EA8" w:rsidP="00405EA8">
      <w:pPr>
        <w:pStyle w:val="Paragraph-Occuity"/>
        <w:rPr>
          <w:bdr w:val="none" w:sz="0" w:space="0" w:color="auto" w:frame="1"/>
          <w:lang w:eastAsia="en-GB"/>
        </w:rPr>
      </w:pPr>
      <w:r w:rsidRPr="00405EA8">
        <w:rPr>
          <w:bdr w:val="none" w:sz="0" w:space="0" w:color="auto" w:frame="1"/>
          <w:lang w:eastAsia="en-GB"/>
        </w:rPr>
        <w:t>Recent studies have highlighted the impact of environmental factors on myopia development. Excessive indoor and screen time has been associated with a higher prevalence of myopia in young children, especially during lockdown periods</w:t>
      </w:r>
      <w:r w:rsidR="00A5181C">
        <w:rPr>
          <w:bdr w:val="none" w:sz="0" w:space="0" w:color="auto" w:frame="1"/>
          <w:lang w:eastAsia="en-GB"/>
        </w:rPr>
        <w:t xml:space="preserve"> [</w:t>
      </w:r>
      <w:hyperlink r:id="rId11" w:history="1">
        <w:r w:rsidR="00A5181C" w:rsidRPr="00A5181C">
          <w:rPr>
            <w:rStyle w:val="Hyperlink"/>
            <w:bdr w:val="none" w:sz="0" w:space="0" w:color="auto" w:frame="1"/>
            <w:lang w:eastAsia="en-GB"/>
          </w:rPr>
          <w:t>3</w:t>
        </w:r>
      </w:hyperlink>
      <w:r w:rsidR="00A5181C">
        <w:rPr>
          <w:bdr w:val="none" w:sz="0" w:space="0" w:color="auto" w:frame="1"/>
          <w:lang w:eastAsia="en-GB"/>
        </w:rPr>
        <w:t>]</w:t>
      </w:r>
      <w:r w:rsidRPr="00405EA8">
        <w:rPr>
          <w:bdr w:val="none" w:sz="0" w:space="0" w:color="auto" w:frame="1"/>
          <w:lang w:eastAsia="en-GB"/>
        </w:rPr>
        <w:t>. Early exposure to daylight has been suggested to have a beneficial impact on myopia development, making outdoor playtime even more crucial for children's eye health</w:t>
      </w:r>
      <w:r w:rsidR="00A5181C">
        <w:rPr>
          <w:bdr w:val="none" w:sz="0" w:space="0" w:color="auto" w:frame="1"/>
          <w:lang w:eastAsia="en-GB"/>
        </w:rPr>
        <w:t xml:space="preserve"> [</w:t>
      </w:r>
      <w:hyperlink r:id="rId12" w:history="1">
        <w:r w:rsidR="00A5181C" w:rsidRPr="00297B57">
          <w:rPr>
            <w:rStyle w:val="Hyperlink"/>
            <w:bdr w:val="none" w:sz="0" w:space="0" w:color="auto" w:frame="1"/>
            <w:lang w:eastAsia="en-GB"/>
          </w:rPr>
          <w:t>4</w:t>
        </w:r>
      </w:hyperlink>
      <w:r w:rsidR="00A5181C">
        <w:rPr>
          <w:bdr w:val="none" w:sz="0" w:space="0" w:color="auto" w:frame="1"/>
          <w:lang w:eastAsia="en-GB"/>
        </w:rPr>
        <w:t>]</w:t>
      </w:r>
      <w:r w:rsidRPr="00405EA8">
        <w:rPr>
          <w:bdr w:val="none" w:sz="0" w:space="0" w:color="auto" w:frame="1"/>
          <w:lang w:eastAsia="en-GB"/>
        </w:rPr>
        <w:t>.</w:t>
      </w:r>
    </w:p>
    <w:p w14:paraId="54388381" w14:textId="2B3CB5FB" w:rsidR="00405EA8" w:rsidRPr="00405EA8" w:rsidRDefault="00405EA8" w:rsidP="00405EA8">
      <w:pPr>
        <w:pStyle w:val="Paragraph-Occuity"/>
        <w:rPr>
          <w:bdr w:val="none" w:sz="0" w:space="0" w:color="auto" w:frame="1"/>
          <w:lang w:eastAsia="en-GB"/>
        </w:rPr>
      </w:pPr>
      <w:r w:rsidRPr="00405EA8">
        <w:rPr>
          <w:bdr w:val="none" w:sz="0" w:space="0" w:color="auto" w:frame="1"/>
          <w:lang w:eastAsia="en-GB"/>
        </w:rPr>
        <w:t>Implementing myopia control strategies at an early age is paramount for ensuring lifelong eye health. Regular eye checks, early intervention, and adopting preventive measures like managing screen time, encouraging outdoor activities, and providing a balanced diet can significantly impact myopia progression. While not guaranteed prevention, these strategies offer promising benefits in delaying myopia onset or slowing its progression, leading to better eye health throughout a child's life.</w:t>
      </w:r>
    </w:p>
    <w:p w14:paraId="069DBCEF" w14:textId="77777777" w:rsidR="002028CF" w:rsidRDefault="002028CF" w:rsidP="004D6CBD">
      <w:pPr>
        <w:pStyle w:val="Paragraph-Occuity"/>
        <w:rPr>
          <w:bdr w:val="none" w:sz="0" w:space="0" w:color="auto" w:frame="1"/>
          <w:lang w:eastAsia="en-GB"/>
        </w:rPr>
      </w:pPr>
    </w:p>
    <w:p w14:paraId="6C65DEE9" w14:textId="77777777" w:rsidR="2C352D95" w:rsidRDefault="2C352D95" w:rsidP="41047056">
      <w:pPr>
        <w:pStyle w:val="Paragraph-Occuity"/>
        <w:rPr>
          <w:b/>
          <w:bCs/>
          <w:lang w:eastAsia="en-GB"/>
        </w:rPr>
      </w:pPr>
      <w:r w:rsidRPr="41047056">
        <w:rPr>
          <w:b/>
          <w:bCs/>
          <w:lang w:eastAsia="en-GB"/>
        </w:rPr>
        <w:t>[Name of Business] is proud to support Myopia Focus</w:t>
      </w:r>
    </w:p>
    <w:p w14:paraId="1B25726E" w14:textId="77777777" w:rsidR="41047056" w:rsidRDefault="41047056" w:rsidP="41047056">
      <w:pPr>
        <w:pStyle w:val="Paragraph-Occuity"/>
        <w:rPr>
          <w:lang w:eastAsia="en-GB"/>
        </w:rPr>
      </w:pPr>
    </w:p>
    <w:p w14:paraId="06A39B17"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13"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4D816C83" w14:textId="77777777" w:rsidR="002028CF" w:rsidRDefault="002028CF" w:rsidP="41047056">
      <w:pPr>
        <w:pStyle w:val="Paragraph-Occuity"/>
        <w:rPr>
          <w:lang w:eastAsia="en-GB"/>
        </w:rPr>
      </w:pPr>
    </w:p>
    <w:p w14:paraId="792CCF67"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4"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471D9F40" w14:textId="77777777" w:rsidR="004D6CBD" w:rsidRDefault="004D6CBD" w:rsidP="004D6CBD">
      <w:pPr>
        <w:pStyle w:val="Paragraph-Occuity"/>
        <w:rPr>
          <w:lang w:eastAsia="en-GB"/>
        </w:rPr>
      </w:pPr>
    </w:p>
    <w:p w14:paraId="56732567" w14:textId="77777777" w:rsidR="5E911820" w:rsidRDefault="5E911820" w:rsidP="41047056">
      <w:pPr>
        <w:pStyle w:val="Paragraph-Occuity"/>
        <w:rPr>
          <w:b/>
          <w:bCs/>
          <w:lang w:eastAsia="en-GB"/>
        </w:rPr>
      </w:pPr>
      <w:r w:rsidRPr="41047056">
        <w:rPr>
          <w:b/>
          <w:bCs/>
          <w:lang w:eastAsia="en-GB"/>
        </w:rPr>
        <w:t>Images:</w:t>
      </w:r>
    </w:p>
    <w:p w14:paraId="1A6EC161" w14:textId="77777777" w:rsidR="002028CF" w:rsidRDefault="002028CF" w:rsidP="004D6CBD">
      <w:pPr>
        <w:pStyle w:val="Paragraph-Occuity"/>
        <w:rPr>
          <w:lang w:eastAsia="en-GB"/>
        </w:rPr>
      </w:pPr>
      <w:r>
        <w:rPr>
          <w:lang w:eastAsia="en-GB"/>
        </w:rPr>
        <w:t>Please feel free to use the below image:</w:t>
      </w:r>
    </w:p>
    <w:p w14:paraId="47F82E48" w14:textId="29F07265" w:rsidR="005B6007" w:rsidRDefault="005B6007" w:rsidP="004D6CBD">
      <w:pPr>
        <w:pStyle w:val="Paragraph-Occuity"/>
        <w:rPr>
          <w:lang w:eastAsia="en-GB"/>
        </w:rPr>
      </w:pPr>
      <w:r>
        <w:rPr>
          <w:noProof/>
          <w:lang w:eastAsia="en-GB"/>
        </w:rPr>
        <w:drawing>
          <wp:inline distT="0" distB="0" distL="0" distR="0" wp14:anchorId="08614D6F" wp14:editId="352517C9">
            <wp:extent cx="5727700" cy="4293870"/>
            <wp:effectExtent l="0" t="0" r="6350" b="0"/>
            <wp:docPr id="7734114" name="Picture 2" descr="A person and a chil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114" name="Picture 2" descr="A person and a child smil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p w14:paraId="2BA3C4FA" w14:textId="77777777" w:rsidR="005B6007" w:rsidRPr="004D6CBD" w:rsidRDefault="005B6007" w:rsidP="004D6CBD">
      <w:pPr>
        <w:pStyle w:val="Paragraph-Occuity"/>
        <w:rPr>
          <w:lang w:eastAsia="en-GB"/>
        </w:rPr>
      </w:pPr>
    </w:p>
    <w:p w14:paraId="25FD5B5D" w14:textId="77777777" w:rsidR="004D6CBD" w:rsidRDefault="004D6CBD" w:rsidP="004D6CBD">
      <w:pPr>
        <w:textAlignment w:val="baseline"/>
        <w:rPr>
          <w:rFonts w:ascii="Arial" w:eastAsia="Times New Roman" w:hAnsi="Arial" w:cs="Arial"/>
          <w:color w:val="000000"/>
          <w:lang w:eastAsia="en-GB"/>
        </w:rPr>
      </w:pPr>
    </w:p>
    <w:p w14:paraId="03A6D050" w14:textId="77777777" w:rsidR="005A17C6" w:rsidRPr="004D6CBD" w:rsidRDefault="005A17C6" w:rsidP="004D6CBD">
      <w:pPr>
        <w:textAlignment w:val="baseline"/>
        <w:rPr>
          <w:rFonts w:ascii="Arial" w:eastAsia="Times New Roman" w:hAnsi="Arial" w:cs="Arial"/>
          <w:color w:val="000000"/>
          <w:lang w:eastAsia="en-GB"/>
        </w:rPr>
      </w:pPr>
    </w:p>
    <w:sectPr w:rsidR="005A17C6" w:rsidRPr="004D6CBD" w:rsidSect="00AD4F65">
      <w:footerReference w:type="defaul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00043" w14:textId="77777777" w:rsidR="005B6007" w:rsidRDefault="005B6007" w:rsidP="00F77795">
      <w:r>
        <w:separator/>
      </w:r>
    </w:p>
  </w:endnote>
  <w:endnote w:type="continuationSeparator" w:id="0">
    <w:p w14:paraId="68E21A5C" w14:textId="77777777" w:rsidR="005B6007" w:rsidRDefault="005B6007"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6546" w14:textId="5A6AEFD0"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D5812" w14:textId="77777777" w:rsidR="005B6007" w:rsidRDefault="005B6007" w:rsidP="00F77795">
      <w:r>
        <w:separator/>
      </w:r>
    </w:p>
  </w:footnote>
  <w:footnote w:type="continuationSeparator" w:id="0">
    <w:p w14:paraId="61C77207" w14:textId="77777777" w:rsidR="005B6007" w:rsidRDefault="005B6007"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C40EC"/>
    <w:multiLevelType w:val="multilevel"/>
    <w:tmpl w:val="A008D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9A2761"/>
    <w:multiLevelType w:val="multilevel"/>
    <w:tmpl w:val="C206E2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0A1F6E"/>
    <w:multiLevelType w:val="multilevel"/>
    <w:tmpl w:val="EC3C54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8228505">
    <w:abstractNumId w:val="1"/>
  </w:num>
  <w:num w:numId="2" w16cid:durableId="1579510783">
    <w:abstractNumId w:val="4"/>
  </w:num>
  <w:num w:numId="3" w16cid:durableId="643975803">
    <w:abstractNumId w:val="2"/>
  </w:num>
  <w:num w:numId="4" w16cid:durableId="869956592">
    <w:abstractNumId w:val="0"/>
  </w:num>
  <w:num w:numId="5" w16cid:durableId="1956280468">
    <w:abstractNumId w:val="3"/>
  </w:num>
  <w:num w:numId="6" w16cid:durableId="7221704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007"/>
    <w:rsid w:val="00003478"/>
    <w:rsid w:val="000C25D0"/>
    <w:rsid w:val="00103B14"/>
    <w:rsid w:val="00187519"/>
    <w:rsid w:val="002028CF"/>
    <w:rsid w:val="0022565C"/>
    <w:rsid w:val="00264354"/>
    <w:rsid w:val="00297B57"/>
    <w:rsid w:val="002B4668"/>
    <w:rsid w:val="003278E2"/>
    <w:rsid w:val="003512FD"/>
    <w:rsid w:val="003D736B"/>
    <w:rsid w:val="00405EA8"/>
    <w:rsid w:val="004A0964"/>
    <w:rsid w:val="004D6CBD"/>
    <w:rsid w:val="00582BCA"/>
    <w:rsid w:val="005A17C6"/>
    <w:rsid w:val="005A3322"/>
    <w:rsid w:val="005B6007"/>
    <w:rsid w:val="006245B0"/>
    <w:rsid w:val="006337C5"/>
    <w:rsid w:val="006528E0"/>
    <w:rsid w:val="006A0A10"/>
    <w:rsid w:val="006B7D37"/>
    <w:rsid w:val="00712E90"/>
    <w:rsid w:val="00832DA6"/>
    <w:rsid w:val="00880197"/>
    <w:rsid w:val="008832B4"/>
    <w:rsid w:val="008A5C0A"/>
    <w:rsid w:val="008A5E61"/>
    <w:rsid w:val="008C5404"/>
    <w:rsid w:val="008E2841"/>
    <w:rsid w:val="008F1ACE"/>
    <w:rsid w:val="009210DE"/>
    <w:rsid w:val="00945A82"/>
    <w:rsid w:val="009772B1"/>
    <w:rsid w:val="009A4233"/>
    <w:rsid w:val="00A5181C"/>
    <w:rsid w:val="00A97656"/>
    <w:rsid w:val="00AD4F65"/>
    <w:rsid w:val="00B72CD7"/>
    <w:rsid w:val="00BA16CF"/>
    <w:rsid w:val="00D04CA2"/>
    <w:rsid w:val="00D2478F"/>
    <w:rsid w:val="00D83B60"/>
    <w:rsid w:val="00E110C2"/>
    <w:rsid w:val="00E449C1"/>
    <w:rsid w:val="00E8384F"/>
    <w:rsid w:val="00EC602E"/>
    <w:rsid w:val="00EE3124"/>
    <w:rsid w:val="00EE478F"/>
    <w:rsid w:val="00EE7682"/>
    <w:rsid w:val="00F7463B"/>
    <w:rsid w:val="00F77795"/>
    <w:rsid w:val="00F83982"/>
    <w:rsid w:val="00F94697"/>
    <w:rsid w:val="00FA64F1"/>
    <w:rsid w:val="00FB2A73"/>
    <w:rsid w:val="00FC25DF"/>
    <w:rsid w:val="00FF1FF3"/>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6FD70"/>
  <w14:defaultImageDpi w14:val="32767"/>
  <w15:chartTrackingRefBased/>
  <w15:docId w15:val="{B61064CE-3316-475D-BC34-E91CD280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5B6007"/>
    <w:pPr>
      <w:keepNext/>
      <w:keepLines/>
      <w:spacing w:before="240" w:after="0"/>
      <w:outlineLvl w:val="0"/>
    </w:pPr>
    <w:rPr>
      <w:rFonts w:asciiTheme="majorHAnsi" w:eastAsiaTheme="majorEastAsia" w:hAnsiTheme="majorHAnsi" w:cstheme="majorBidi"/>
      <w:color w:val="11172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5B6007"/>
    <w:rPr>
      <w:rFonts w:asciiTheme="majorHAnsi" w:eastAsiaTheme="majorEastAsia" w:hAnsiTheme="majorHAnsi" w:cstheme="majorBidi"/>
      <w:color w:val="111726" w:themeColor="accent1" w:themeShade="BF"/>
      <w:sz w:val="32"/>
      <w:szCs w:val="32"/>
    </w:rPr>
  </w:style>
  <w:style w:type="paragraph" w:styleId="NormalWeb">
    <w:name w:val="Normal (Web)"/>
    <w:basedOn w:val="Normal"/>
    <w:uiPriority w:val="99"/>
    <w:semiHidden/>
    <w:unhideWhenUsed/>
    <w:rsid w:val="00405EA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681592670">
      <w:bodyDiv w:val="1"/>
      <w:marLeft w:val="0"/>
      <w:marRight w:val="0"/>
      <w:marTop w:val="0"/>
      <w:marBottom w:val="0"/>
      <w:divBdr>
        <w:top w:val="none" w:sz="0" w:space="0" w:color="auto"/>
        <w:left w:val="none" w:sz="0" w:space="0" w:color="auto"/>
        <w:bottom w:val="none" w:sz="0" w:space="0" w:color="auto"/>
        <w:right w:val="none" w:sz="0" w:space="0" w:color="auto"/>
      </w:divBdr>
      <w:divsChild>
        <w:div w:id="535773527">
          <w:blockQuote w:val="1"/>
          <w:marLeft w:val="720"/>
          <w:marRight w:val="720"/>
          <w:marTop w:val="100"/>
          <w:marBottom w:val="100"/>
          <w:divBdr>
            <w:top w:val="none" w:sz="0" w:space="8" w:color="auto"/>
            <w:left w:val="none" w:sz="0" w:space="0" w:color="auto"/>
            <w:bottom w:val="none" w:sz="0" w:space="8" w:color="auto"/>
            <w:right w:val="none" w:sz="0" w:space="0" w:color="auto"/>
          </w:divBdr>
        </w:div>
        <w:div w:id="818691440">
          <w:blockQuote w:val="1"/>
          <w:marLeft w:val="720"/>
          <w:marRight w:val="720"/>
          <w:marTop w:val="100"/>
          <w:marBottom w:val="100"/>
          <w:divBdr>
            <w:top w:val="none" w:sz="0" w:space="8" w:color="auto"/>
            <w:left w:val="none" w:sz="0" w:space="0" w:color="auto"/>
            <w:bottom w:val="none" w:sz="0" w:space="8" w:color="auto"/>
            <w:right w:val="none" w:sz="0" w:space="0" w:color="auto"/>
          </w:divBdr>
        </w:div>
        <w:div w:id="644624542">
          <w:marLeft w:val="0"/>
          <w:marRight w:val="0"/>
          <w:marTop w:val="225"/>
          <w:marBottom w:val="225"/>
          <w:divBdr>
            <w:top w:val="none" w:sz="0" w:space="0" w:color="auto"/>
            <w:left w:val="none" w:sz="0" w:space="0" w:color="auto"/>
            <w:bottom w:val="none" w:sz="0" w:space="0" w:color="auto"/>
            <w:right w:val="none" w:sz="0" w:space="0" w:color="auto"/>
          </w:divBdr>
          <w:divsChild>
            <w:div w:id="624430739">
              <w:marLeft w:val="0"/>
              <w:marRight w:val="0"/>
              <w:marTop w:val="0"/>
              <w:marBottom w:val="0"/>
              <w:divBdr>
                <w:top w:val="none" w:sz="0" w:space="0" w:color="auto"/>
                <w:left w:val="none" w:sz="0" w:space="0" w:color="auto"/>
                <w:bottom w:val="none" w:sz="0" w:space="0" w:color="auto"/>
                <w:right w:val="none" w:sz="0" w:space="0" w:color="auto"/>
              </w:divBdr>
              <w:divsChild>
                <w:div w:id="1386373151">
                  <w:marLeft w:val="0"/>
                  <w:marRight w:val="0"/>
                  <w:marTop w:val="0"/>
                  <w:marBottom w:val="0"/>
                  <w:divBdr>
                    <w:top w:val="none" w:sz="0" w:space="0" w:color="auto"/>
                    <w:left w:val="none" w:sz="0" w:space="0" w:color="auto"/>
                    <w:bottom w:val="none" w:sz="0" w:space="0" w:color="auto"/>
                    <w:right w:val="none" w:sz="0" w:space="0" w:color="auto"/>
                  </w:divBdr>
                  <w:divsChild>
                    <w:div w:id="4913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022172622">
      <w:bodyDiv w:val="1"/>
      <w:marLeft w:val="0"/>
      <w:marRight w:val="0"/>
      <w:marTop w:val="0"/>
      <w:marBottom w:val="0"/>
      <w:divBdr>
        <w:top w:val="none" w:sz="0" w:space="0" w:color="auto"/>
        <w:left w:val="none" w:sz="0" w:space="0" w:color="auto"/>
        <w:bottom w:val="none" w:sz="0" w:space="0" w:color="auto"/>
        <w:right w:val="none" w:sz="0" w:space="0" w:color="auto"/>
      </w:divBdr>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202659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7708530/" TargetMode="External"/><Relationship Id="rId13" Type="http://schemas.openxmlformats.org/officeDocument/2006/relationships/hyperlink" Target="https://www.myopiafocus.org/what-is-childhood-myopi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jo.bmj.com/content/106/8/110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amanetwork.com/journals/jamaophthalmology/fullarticle/2774808"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myopiafocus.org/soft-contact-lenses-myopia-management" TargetMode="External"/><Relationship Id="rId4" Type="http://schemas.openxmlformats.org/officeDocument/2006/relationships/webSettings" Target="webSettings.xml"/><Relationship Id="rId9" Type="http://schemas.openxmlformats.org/officeDocument/2006/relationships/hyperlink" Target="https://www.eyecareconcepts.com.au/blog/what-age-to-start-myopia-control-treatment" TargetMode="External"/><Relationship Id="rId14" Type="http://schemas.openxmlformats.org/officeDocument/2006/relationships/hyperlink" Target="https://chng.it/Ft25M75fp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599</Words>
  <Characters>3418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2023-07-25T14:40:00Z</dcterms:created>
  <dcterms:modified xsi:type="dcterms:W3CDTF">2023-07-25T14:40:00Z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